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9"/>
        <w:tblW w:w="9180" w:type="dxa"/>
        <w:tblLook w:val="04A0"/>
      </w:tblPr>
      <w:tblGrid>
        <w:gridCol w:w="1531"/>
        <w:gridCol w:w="6636"/>
        <w:gridCol w:w="1013"/>
      </w:tblGrid>
      <w:tr w:rsidR="00170989" w:rsidRPr="00FA3A37" w:rsidTr="00D71E6F">
        <w:tc>
          <w:tcPr>
            <w:tcW w:w="1531" w:type="dxa"/>
          </w:tcPr>
          <w:p w:rsidR="00170989" w:rsidRPr="00FA3A37" w:rsidRDefault="00693B86" w:rsidP="00170989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.6pt;margin-top:5.95pt;width:215.5pt;height:196.4pt;z-index:251658240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135C0B" w:rsidRDefault="00D54817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D54817">
                          <w:rPr>
                            <w:rFonts w:ascii="Calibri" w:hAnsi="Calibri"/>
                            <w:b/>
                            <w:noProof/>
                          </w:rPr>
                          <w:drawing>
                            <wp:inline distT="0" distB="0" distL="0" distR="0">
                              <wp:extent cx="415497" cy="407284"/>
                              <wp:effectExtent l="19050" t="0" r="3603" b="0"/>
                              <wp:docPr id="3" name="il_fi" descr="http://upload.wikimedia.org/wikipedia/commons/thumb/7/7c/Coat_of_arms_of_Greece.svg/155px-Coat_of_arms_of_Greece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upload.wikimedia.org/wikipedia/commons/thumb/7/7c/Coat_of_arms_of_Greece.svg/155px-Coat_of_arms_of_Greece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33" cy="417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0989" w:rsidRPr="00867121" w:rsidRDefault="00170989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867121">
                          <w:rPr>
                            <w:rFonts w:ascii="Calibri" w:hAnsi="Calibri"/>
                            <w:b/>
                          </w:rPr>
                          <w:t>ΕΛΛΗΝΙΚΗ ΔΗΜΟΚΡΑΤΙΑ</w:t>
                        </w:r>
                      </w:p>
                      <w:p w:rsidR="00170989" w:rsidRDefault="00170989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867121">
                          <w:rPr>
                            <w:rFonts w:ascii="Calibri" w:hAnsi="Calibri"/>
                            <w:b/>
                          </w:rPr>
                          <w:t xml:space="preserve">ΥΠΟΥΡΓΕΙΟ ΠΑΙΔΕΙΑΣ ΚΑΙ ΘΡΗΣΚΕΥΜΑΤΩΝ, </w:t>
                        </w:r>
                      </w:p>
                      <w:p w:rsidR="00170989" w:rsidRPr="00867121" w:rsidRDefault="00170989" w:rsidP="00170989">
                        <w:pPr>
                          <w:jc w:val="center"/>
                        </w:pPr>
                        <w:r w:rsidRPr="00867121">
                          <w:t>-------</w:t>
                        </w:r>
                      </w:p>
                      <w:p w:rsidR="00170989" w:rsidRPr="00867121" w:rsidRDefault="00170989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867121">
                          <w:rPr>
                            <w:rFonts w:ascii="Calibri" w:hAnsi="Calibri"/>
                            <w:b/>
                          </w:rPr>
                          <w:t>ΠΕΡΙΦΕΡΕΙΑΚΗ Δ/ΝΣΗ Α/ΘΜΙΑΣ ΚΑΙ Β/ΘΜΙΑΣ ΕΚΠ/ΣΗΣ ΗΠΕΙΡΟΥ</w:t>
                        </w:r>
                      </w:p>
                      <w:p w:rsidR="00170989" w:rsidRPr="000C7C68" w:rsidRDefault="00170989" w:rsidP="00170989">
                        <w:pPr>
                          <w:jc w:val="center"/>
                          <w:rPr>
                            <w:rFonts w:ascii="Calibri" w:hAnsi="Calibri"/>
                            <w:b/>
                            <w:color w:val="0066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600"/>
                          </w:rPr>
                          <w:t xml:space="preserve">ΚΕΝΤΡΟ  </w:t>
                        </w:r>
                        <w:r w:rsidRPr="00867121">
                          <w:rPr>
                            <w:rFonts w:ascii="Calibri" w:hAnsi="Calibri"/>
                            <w:b/>
                            <w:color w:val="006600"/>
                          </w:rPr>
                          <w:t>ΠΕΡΙΒΑΛΛΟΝΤΙΚΗΣ</w:t>
                        </w:r>
                        <w:r>
                          <w:rPr>
                            <w:rFonts w:ascii="Calibri" w:hAnsi="Calibri"/>
                            <w:b/>
                            <w:color w:val="006600"/>
                          </w:rPr>
                          <w:t xml:space="preserve">ΕΚΠΑΙΔΕΥΣΗΣ </w:t>
                        </w:r>
                        <w:r w:rsidRPr="00867121">
                          <w:rPr>
                            <w:rFonts w:ascii="Calibri" w:hAnsi="Calibri"/>
                            <w:b/>
                            <w:color w:val="006600"/>
                          </w:rPr>
                          <w:t>ΦΙΛΙΑΤΩΝ</w:t>
                        </w:r>
                        <w:r w:rsidR="000C7C68" w:rsidRPr="00CF1DDB">
                          <w:rPr>
                            <w:rFonts w:ascii="Calibri" w:hAnsi="Calibri"/>
                            <w:b/>
                            <w:color w:val="006600"/>
                          </w:rPr>
                          <w:t xml:space="preserve"> - </w:t>
                        </w:r>
                        <w:r w:rsidR="000C7C68">
                          <w:rPr>
                            <w:rFonts w:ascii="Calibri" w:hAnsi="Calibri"/>
                            <w:b/>
                            <w:color w:val="006600"/>
                          </w:rPr>
                          <w:t>ΘΕΣΠΡΩΤΙΑΣ</w:t>
                        </w:r>
                      </w:p>
                      <w:p w:rsidR="00170989" w:rsidRPr="00867121" w:rsidRDefault="00170989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867121">
                          <w:rPr>
                            <w:rFonts w:ascii="Calibri" w:hAnsi="Calibri"/>
                            <w:b/>
                          </w:rPr>
                          <w:t>46 300  Δ.Δ. ΒΡΥΣΕΛΑΣ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 w:rsidRPr="00867121">
                          <w:rPr>
                            <w:rFonts w:ascii="Calibri" w:hAnsi="Calibri"/>
                            <w:b/>
                          </w:rPr>
                          <w:t xml:space="preserve">Φιλιάτες ΘΕΣΠΡΩΤΙΑ </w:t>
                        </w:r>
                      </w:p>
                      <w:p w:rsidR="00170989" w:rsidRPr="005E1F9E" w:rsidRDefault="00170989" w:rsidP="00170989">
                        <w:pPr>
                          <w:tabs>
                            <w:tab w:val="left" w:pos="1843"/>
                            <w:tab w:val="left" w:pos="1985"/>
                          </w:tabs>
                          <w:jc w:val="center"/>
                          <w:rPr>
                            <w:rFonts w:ascii="Calibri" w:hAnsi="Calibri"/>
                            <w:b/>
                            <w:lang w:val="en-US"/>
                          </w:rPr>
                        </w:pPr>
                        <w:r w:rsidRPr="00867121">
                          <w:rPr>
                            <w:rFonts w:ascii="Calibri" w:hAnsi="Calibri"/>
                            <w:b/>
                          </w:rPr>
                          <w:t>Τηλ</w:t>
                        </w:r>
                        <w:r w:rsidRPr="005E1F9E">
                          <w:rPr>
                            <w:rFonts w:ascii="Calibri" w:hAnsi="Calibri"/>
                            <w:bCs/>
                            <w:lang w:val="en-US"/>
                          </w:rPr>
                          <w:t>: 26640 22000</w:t>
                        </w:r>
                      </w:p>
                      <w:p w:rsidR="00170989" w:rsidRPr="005E1F9E" w:rsidRDefault="00170989" w:rsidP="00170989">
                        <w:pPr>
                          <w:tabs>
                            <w:tab w:val="left" w:pos="1843"/>
                            <w:tab w:val="left" w:pos="1985"/>
                          </w:tabs>
                          <w:jc w:val="center"/>
                          <w:rPr>
                            <w:rFonts w:ascii="Calibri" w:hAnsi="Calibri"/>
                            <w:b/>
                            <w:lang w:val="en-US"/>
                          </w:rPr>
                        </w:pPr>
                        <w:r w:rsidRPr="00867121">
                          <w:rPr>
                            <w:rFonts w:ascii="Calibri" w:hAnsi="Calibri"/>
                            <w:b/>
                            <w:lang w:val="en-GB"/>
                          </w:rPr>
                          <w:t>FAX</w:t>
                        </w:r>
                        <w:r w:rsidRPr="005E1F9E">
                          <w:rPr>
                            <w:rFonts w:ascii="Calibri" w:hAnsi="Calibri"/>
                            <w:lang w:val="en-US"/>
                          </w:rPr>
                          <w:t>: 26640 22000</w:t>
                        </w:r>
                      </w:p>
                      <w:p w:rsidR="00170989" w:rsidRPr="000D2460" w:rsidRDefault="00EA6B5F" w:rsidP="00170989">
                        <w:pPr>
                          <w:jc w:val="center"/>
                          <w:rPr>
                            <w:rFonts w:ascii="Calibri" w:hAnsi="Calibri"/>
                            <w:bCs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lang w:val="it-IT"/>
                          </w:rPr>
                          <w:t>e-mail</w:t>
                        </w:r>
                        <w:r w:rsidR="00170989" w:rsidRPr="00867121">
                          <w:rPr>
                            <w:rFonts w:ascii="Calibri" w:hAnsi="Calibri"/>
                            <w:b/>
                            <w:bCs/>
                            <w:lang w:val="it-IT"/>
                          </w:rPr>
                          <w:t xml:space="preserve">: </w:t>
                        </w:r>
                        <w:r w:rsidR="00170989" w:rsidRPr="00867121">
                          <w:rPr>
                            <w:rFonts w:ascii="Calibri" w:hAnsi="Calibri"/>
                            <w:bCs/>
                            <w:lang w:val="en-US"/>
                          </w:rPr>
                          <w:t>kpefilia@otenet.gr</w:t>
                        </w:r>
                      </w:p>
                      <w:p w:rsidR="000D2460" w:rsidRPr="000D2460" w:rsidRDefault="000D2460" w:rsidP="000D2460">
                        <w:pPr>
                          <w:jc w:val="center"/>
                          <w:rPr>
                            <w:rFonts w:ascii="Calibri" w:hAnsi="Calibri"/>
                            <w:b/>
                            <w:color w:val="006600"/>
                            <w:lang w:val="en-US"/>
                          </w:rPr>
                        </w:pPr>
                        <w:r w:rsidRPr="000D2460">
                          <w:rPr>
                            <w:rFonts w:ascii="Calibri" w:hAnsi="Calibri"/>
                            <w:b/>
                            <w:bCs/>
                            <w:lang w:val="it-IT"/>
                          </w:rPr>
                          <w:t>web:</w:t>
                        </w:r>
                        <w:r>
                          <w:rPr>
                            <w:rFonts w:ascii="Calibri" w:hAnsi="Calibri"/>
                            <w:b/>
                            <w:color w:val="006600"/>
                            <w:lang w:val="en-US"/>
                          </w:rPr>
                          <w:t xml:space="preserve"> </w:t>
                        </w:r>
                        <w:r w:rsidR="000C7C68" w:rsidRPr="000C7C68">
                          <w:rPr>
                            <w:rFonts w:ascii="Calibri" w:hAnsi="Calibri"/>
                            <w:bCs/>
                            <w:lang w:val="en-US"/>
                          </w:rPr>
                          <w:t>www.</w:t>
                        </w:r>
                        <w:r w:rsidR="000C7C68">
                          <w:rPr>
                            <w:rFonts w:ascii="Calibri" w:hAnsi="Calibri"/>
                            <w:bCs/>
                            <w:lang w:val="en-US"/>
                          </w:rPr>
                          <w:t>kpe-filiaton</w:t>
                        </w:r>
                        <w:r w:rsidRPr="000D2460">
                          <w:rPr>
                            <w:rFonts w:ascii="Calibri" w:hAnsi="Calibri"/>
                            <w:bCs/>
                            <w:lang w:val="en-US"/>
                          </w:rPr>
                          <w:t>.gr</w:t>
                        </w:r>
                      </w:p>
                      <w:p w:rsidR="000D2460" w:rsidRPr="000D2460" w:rsidRDefault="000D2460" w:rsidP="00170989">
                        <w:pPr>
                          <w:jc w:val="center"/>
                          <w:rPr>
                            <w:rFonts w:ascii="Calibri" w:hAnsi="Calibri"/>
                            <w:b/>
                            <w:color w:val="006600"/>
                            <w:lang w:val="en-US"/>
                          </w:rPr>
                        </w:pPr>
                      </w:p>
                      <w:p w:rsidR="00170989" w:rsidRPr="005E1F9E" w:rsidRDefault="00170989" w:rsidP="0017098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636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06251" w:rsidRPr="00FA3A37" w:rsidRDefault="00693B86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 id="_x0000_s1029" type="#_x0000_t202" style="position:absolute;margin-left:309.55pt;margin-top:-19.4pt;width:208.55pt;height:191.6pt;z-index:251659264;mso-position-horizontal-relative:text;mso-position-vertical-relative:text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170989" w:rsidRPr="00D71E6F" w:rsidRDefault="00170989" w:rsidP="00170989">
                  <w:pPr>
                    <w:pStyle w:val="2"/>
                    <w:jc w:val="right"/>
                    <w:rPr>
                      <w:rFonts w:ascii="Calibri" w:hAnsi="Calibri"/>
                      <w:sz w:val="20"/>
                    </w:rPr>
                  </w:pPr>
                  <w:r w:rsidRPr="009F1817">
                    <w:rPr>
                      <w:rFonts w:ascii="Calibri" w:hAnsi="Calibri"/>
                      <w:sz w:val="20"/>
                    </w:rPr>
                    <w:t>Φιλιάτες</w:t>
                  </w:r>
                  <w:r>
                    <w:rPr>
                      <w:rFonts w:ascii="Calibri" w:hAnsi="Calibri"/>
                      <w:sz w:val="20"/>
                    </w:rPr>
                    <w:t>:</w:t>
                  </w:r>
                  <w:r w:rsidR="00882832">
                    <w:rPr>
                      <w:rFonts w:ascii="Calibri" w:hAnsi="Calibri"/>
                      <w:sz w:val="20"/>
                    </w:rPr>
                    <w:t xml:space="preserve"> 13-09</w:t>
                  </w:r>
                  <w:r w:rsidR="000C7C68">
                    <w:rPr>
                      <w:rFonts w:ascii="Calibri" w:hAnsi="Calibri"/>
                      <w:sz w:val="20"/>
                    </w:rPr>
                    <w:t>-2013</w:t>
                  </w:r>
                  <w:r w:rsidR="00EA6B5F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9F1817">
                    <w:rPr>
                      <w:rFonts w:ascii="Calibri" w:hAnsi="Calibri"/>
                      <w:sz w:val="20"/>
                    </w:rPr>
                    <w:t xml:space="preserve">  </w:t>
                  </w:r>
                </w:p>
                <w:p w:rsidR="00170989" w:rsidRPr="00D71E6F" w:rsidRDefault="00170989" w:rsidP="00170989">
                  <w:pPr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Αρ. Πρ:</w:t>
                  </w:r>
                  <w:r w:rsidR="00882832">
                    <w:rPr>
                      <w:rFonts w:ascii="Calibri" w:hAnsi="Calibri"/>
                      <w:b/>
                    </w:rPr>
                    <w:t xml:space="preserve">162 </w:t>
                  </w:r>
                  <w:r w:rsidR="000C7C68">
                    <w:rPr>
                      <w:rFonts w:ascii="Calibri" w:hAnsi="Calibri"/>
                      <w:b/>
                    </w:rPr>
                    <w:t xml:space="preserve"> </w:t>
                  </w:r>
                  <w:r w:rsidR="00EA6B5F">
                    <w:rPr>
                      <w:rFonts w:ascii="Calibri" w:hAnsi="Calibri"/>
                      <w:b/>
                    </w:rPr>
                    <w:t xml:space="preserve"> </w:t>
                  </w:r>
                </w:p>
                <w:p w:rsidR="00170989" w:rsidRDefault="00170989" w:rsidP="00170989">
                  <w:pPr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FA3A37" w:rsidRDefault="00FA3A37" w:rsidP="00170989">
                  <w:pPr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FA3A37" w:rsidRDefault="00FA3A37" w:rsidP="00170989">
                  <w:pPr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882832" w:rsidRDefault="00170989" w:rsidP="00170989">
                  <w:pPr>
                    <w:rPr>
                      <w:rFonts w:ascii="Calibri" w:hAnsi="Calibri"/>
                      <w:b/>
                    </w:rPr>
                  </w:pPr>
                  <w:r w:rsidRPr="005E1F9E">
                    <w:rPr>
                      <w:rFonts w:ascii="Calibri" w:hAnsi="Calibri"/>
                      <w:b/>
                      <w:sz w:val="24"/>
                      <w:szCs w:val="24"/>
                      <w:u w:val="single"/>
                    </w:rPr>
                    <w:t>Προς:</w:t>
                  </w:r>
                  <w:r w:rsidRPr="005E1F9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</w:t>
                  </w:r>
                  <w:r w:rsidR="00882832">
                    <w:rPr>
                      <w:rFonts w:ascii="Calibri" w:hAnsi="Calibri"/>
                      <w:b/>
                    </w:rPr>
                    <w:t>Περιφερειακή Δ</w:t>
                  </w:r>
                  <w:r w:rsidR="00882832" w:rsidRPr="00882832">
                    <w:rPr>
                      <w:rFonts w:ascii="Calibri" w:hAnsi="Calibri"/>
                      <w:b/>
                    </w:rPr>
                    <w:t>/</w:t>
                  </w:r>
                  <w:r w:rsidR="00882832">
                    <w:rPr>
                      <w:rFonts w:ascii="Calibri" w:hAnsi="Calibri"/>
                      <w:b/>
                    </w:rPr>
                    <w:t>νση</w:t>
                  </w:r>
                  <w:r w:rsidR="000C7C68" w:rsidRPr="000C7C68">
                    <w:rPr>
                      <w:rFonts w:ascii="Calibri" w:hAnsi="Calibri"/>
                      <w:b/>
                    </w:rPr>
                    <w:t xml:space="preserve"> </w:t>
                  </w:r>
                  <w:r w:rsidR="00882832">
                    <w:rPr>
                      <w:rFonts w:ascii="Calibri" w:hAnsi="Calibri"/>
                      <w:b/>
                    </w:rPr>
                    <w:t xml:space="preserve">Πρωτοβάθμιας - </w:t>
                  </w:r>
                  <w:r w:rsidR="000C7C68" w:rsidRPr="000C7C68">
                    <w:rPr>
                      <w:rFonts w:ascii="Calibri" w:hAnsi="Calibri"/>
                      <w:b/>
                    </w:rPr>
                    <w:t xml:space="preserve"> </w:t>
                  </w:r>
                  <w:r w:rsidR="00882832">
                    <w:rPr>
                      <w:rFonts w:ascii="Calibri" w:hAnsi="Calibri"/>
                      <w:b/>
                    </w:rPr>
                    <w:t xml:space="preserve">   </w:t>
                  </w:r>
                </w:p>
                <w:p w:rsidR="00CA618F" w:rsidRDefault="000C7C68" w:rsidP="00882832">
                  <w:pPr>
                    <w:ind w:firstLine="720"/>
                    <w:rPr>
                      <w:rFonts w:ascii="Calibri" w:hAnsi="Calibri"/>
                      <w:b/>
                    </w:rPr>
                  </w:pPr>
                  <w:r w:rsidRPr="000C7C68">
                    <w:rPr>
                      <w:rFonts w:ascii="Calibri" w:hAnsi="Calibri"/>
                      <w:b/>
                    </w:rPr>
                    <w:t xml:space="preserve">Δευτεροβάθμιας Εκπαίδευσης Ηπείρου </w:t>
                  </w:r>
                </w:p>
                <w:p w:rsidR="00882832" w:rsidRDefault="00882832" w:rsidP="00170989">
                  <w:pPr>
                    <w:rPr>
                      <w:rFonts w:ascii="Calibri" w:hAnsi="Calibri"/>
                      <w:b/>
                    </w:rPr>
                  </w:pPr>
                </w:p>
                <w:p w:rsidR="00882832" w:rsidRDefault="00882832" w:rsidP="0088283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Κοιν. Περιφερειακές Δ</w:t>
                  </w:r>
                  <w:r w:rsidRPr="00882832">
                    <w:rPr>
                      <w:rFonts w:ascii="Calibri" w:hAnsi="Calibri"/>
                      <w:b/>
                    </w:rPr>
                    <w:t>/</w:t>
                  </w:r>
                  <w:r>
                    <w:rPr>
                      <w:rFonts w:ascii="Calibri" w:hAnsi="Calibri"/>
                      <w:b/>
                    </w:rPr>
                    <w:t>νσεις</w:t>
                  </w:r>
                  <w:r w:rsidRPr="000C7C68">
                    <w:rPr>
                      <w:rFonts w:ascii="Calibri" w:hAnsi="Calibri"/>
                      <w:b/>
                    </w:rPr>
                    <w:t xml:space="preserve"> Πρωτοβάθμιας</w:t>
                  </w:r>
                  <w:r>
                    <w:rPr>
                      <w:rFonts w:ascii="Calibri" w:hAnsi="Calibri"/>
                      <w:b/>
                    </w:rPr>
                    <w:t xml:space="preserve">         </w:t>
                  </w:r>
                </w:p>
                <w:p w:rsidR="00882832" w:rsidRDefault="00882832" w:rsidP="00882832">
                  <w:pPr>
                    <w:ind w:firstLine="720"/>
                    <w:rPr>
                      <w:rFonts w:ascii="Calibri" w:hAnsi="Calibri"/>
                      <w:b/>
                    </w:rPr>
                  </w:pPr>
                  <w:r w:rsidRPr="000C7C68">
                    <w:rPr>
                      <w:rFonts w:ascii="Calibri" w:hAnsi="Calibri"/>
                      <w:b/>
                    </w:rPr>
                    <w:t>και Δευτεροβάθμιας Εκπαίδευσης</w:t>
                  </w:r>
                  <w:r>
                    <w:rPr>
                      <w:rFonts w:ascii="Calibri" w:hAnsi="Calibri"/>
                      <w:b/>
                    </w:rPr>
                    <w:t xml:space="preserve"> </w:t>
                  </w:r>
                </w:p>
                <w:p w:rsidR="00882832" w:rsidRDefault="00882832" w:rsidP="00882832">
                  <w:pPr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Επικράτειας</w:t>
                  </w:r>
                </w:p>
              </w:txbxContent>
            </v:textbox>
          </v:shape>
        </w:pict>
      </w: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 w:rsidP="00FA3A37">
      <w:pPr>
        <w:ind w:left="142"/>
        <w:rPr>
          <w:sz w:val="22"/>
          <w:szCs w:val="22"/>
          <w:lang w:val="en-US"/>
        </w:rPr>
      </w:pPr>
    </w:p>
    <w:p w:rsidR="00170989" w:rsidRPr="00FA3A37" w:rsidRDefault="00CF1D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E7206C" w:rsidRDefault="00882832">
      <w:pPr>
        <w:rPr>
          <w:sz w:val="22"/>
          <w:szCs w:val="22"/>
        </w:rPr>
      </w:pPr>
      <w:r w:rsidRPr="001F769F">
        <w:rPr>
          <w:b/>
          <w:sz w:val="22"/>
          <w:szCs w:val="22"/>
        </w:rPr>
        <w:t xml:space="preserve">ΘΕΜΑ:  Ένταξη σχολικών μονάδων στο δίκτυο </w:t>
      </w:r>
      <w:r w:rsidR="001F769F">
        <w:rPr>
          <w:b/>
          <w:sz w:val="22"/>
          <w:szCs w:val="22"/>
        </w:rPr>
        <w:t>«</w:t>
      </w:r>
      <w:r w:rsidRPr="001F769F">
        <w:rPr>
          <w:b/>
          <w:sz w:val="22"/>
          <w:szCs w:val="22"/>
        </w:rPr>
        <w:t>ΥΔΡΟΚΙΝΗΣΗ</w:t>
      </w:r>
      <w:r w:rsidR="001F769F">
        <w:rPr>
          <w:b/>
          <w:sz w:val="22"/>
          <w:szCs w:val="22"/>
        </w:rPr>
        <w:t>»</w:t>
      </w:r>
      <w:r w:rsidR="00D23C9C">
        <w:rPr>
          <w:b/>
          <w:sz w:val="22"/>
          <w:szCs w:val="22"/>
        </w:rPr>
        <w:t xml:space="preserve"> που συντονίζει το ΚΠΕ Φιλιατών </w:t>
      </w:r>
    </w:p>
    <w:p w:rsidR="00E7206C" w:rsidRPr="00FA3A37" w:rsidRDefault="00E7206C">
      <w:pPr>
        <w:rPr>
          <w:sz w:val="22"/>
          <w:szCs w:val="22"/>
        </w:rPr>
      </w:pPr>
    </w:p>
    <w:p w:rsidR="00992FBD" w:rsidRPr="004E3A3C" w:rsidRDefault="001F769F" w:rsidP="00E7206C">
      <w:pPr>
        <w:jc w:val="both"/>
        <w:rPr>
          <w:sz w:val="24"/>
          <w:szCs w:val="24"/>
        </w:rPr>
      </w:pPr>
      <w:r w:rsidRPr="004E3A3C">
        <w:rPr>
          <w:sz w:val="24"/>
          <w:szCs w:val="24"/>
        </w:rPr>
        <w:t>Παρακαλούμε οι σχολικές μονάδες που επιθυμούν να ενταχθούν στο Εθνικό θεματικό δίκτυο «</w:t>
      </w:r>
      <w:r w:rsidR="00CE74FD">
        <w:rPr>
          <w:sz w:val="24"/>
          <w:szCs w:val="24"/>
        </w:rPr>
        <w:t>ΥΔΡΟΚΙ</w:t>
      </w:r>
      <w:r w:rsidRPr="004E3A3C">
        <w:rPr>
          <w:sz w:val="24"/>
          <w:szCs w:val="24"/>
        </w:rPr>
        <w:t>ΝΗΣΗ»</w:t>
      </w:r>
      <w:r w:rsidR="00BA1936" w:rsidRPr="004E3A3C">
        <w:rPr>
          <w:sz w:val="24"/>
          <w:szCs w:val="24"/>
        </w:rPr>
        <w:t xml:space="preserve"> να</w:t>
      </w:r>
      <w:r w:rsidRPr="004E3A3C">
        <w:rPr>
          <w:sz w:val="24"/>
          <w:szCs w:val="24"/>
        </w:rPr>
        <w:t xml:space="preserve"> </w:t>
      </w:r>
      <w:r w:rsidR="00BA1936" w:rsidRPr="004E3A3C">
        <w:rPr>
          <w:sz w:val="24"/>
          <w:szCs w:val="24"/>
        </w:rPr>
        <w:t>κάνουν αίτηση συμμετοχής έως την Παρασκευή 27-09-2013.</w:t>
      </w:r>
    </w:p>
    <w:p w:rsidR="00BA1936" w:rsidRDefault="00BA1936" w:rsidP="00E7206C">
      <w:pPr>
        <w:jc w:val="both"/>
        <w:rPr>
          <w:sz w:val="22"/>
          <w:szCs w:val="22"/>
        </w:rPr>
      </w:pPr>
    </w:p>
    <w:p w:rsidR="00BA1936" w:rsidRDefault="00D23C9C" w:rsidP="00E72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C9C" w:rsidRDefault="00D23C9C" w:rsidP="00E7206C">
      <w:pPr>
        <w:jc w:val="both"/>
        <w:rPr>
          <w:sz w:val="22"/>
          <w:szCs w:val="22"/>
        </w:rPr>
      </w:pPr>
      <w:r w:rsidRPr="004E3A3C">
        <w:rPr>
          <w:sz w:val="22"/>
          <w:szCs w:val="22"/>
        </w:rPr>
        <w:t xml:space="preserve">Ο βασικός σκοπός του δικτύου είναι η επαφή των επιμορφωμένων ενηλίκων και μαθητών με μορφές εξοικονόμησης ενέργειας με την εκμετάλλευση της κίνησης του νερού σε παλαιότερες άλλα και σύγχρονες εγκαταστάσεις. </w:t>
      </w:r>
      <w:r w:rsidR="004E3A3C">
        <w:rPr>
          <w:sz w:val="22"/>
          <w:szCs w:val="22"/>
        </w:rPr>
        <w:t xml:space="preserve">Έτσι μέσω του </w:t>
      </w:r>
      <w:r w:rsidRPr="004E3A3C">
        <w:rPr>
          <w:sz w:val="22"/>
          <w:szCs w:val="22"/>
        </w:rPr>
        <w:t xml:space="preserve">δικτύου </w:t>
      </w:r>
      <w:r w:rsidR="004E3A3C">
        <w:rPr>
          <w:sz w:val="22"/>
          <w:szCs w:val="22"/>
        </w:rPr>
        <w:t>αυτού θα γίνεται</w:t>
      </w:r>
      <w:r w:rsidRPr="004E3A3C">
        <w:rPr>
          <w:sz w:val="22"/>
          <w:szCs w:val="22"/>
        </w:rPr>
        <w:t xml:space="preserve"> ανταλλαγή παιδαγωγικού και επιστημονικού υλικού μεταξύ των σχολικών μονάδων και των συνεργαζόμενων Κ.Π.Ε. </w:t>
      </w:r>
      <w:r w:rsidR="004E3A3C">
        <w:rPr>
          <w:sz w:val="22"/>
          <w:szCs w:val="22"/>
        </w:rPr>
        <w:t>πάνω στο θέμα αυτό.</w:t>
      </w:r>
    </w:p>
    <w:p w:rsidR="004E3A3C" w:rsidRDefault="004E3A3C" w:rsidP="00E7206C">
      <w:pPr>
        <w:jc w:val="both"/>
        <w:rPr>
          <w:sz w:val="22"/>
          <w:szCs w:val="22"/>
        </w:rPr>
      </w:pPr>
    </w:p>
    <w:p w:rsidR="004E3A3C" w:rsidRPr="004E3A3C" w:rsidRDefault="004E3A3C" w:rsidP="00E7206C">
      <w:pPr>
        <w:jc w:val="both"/>
      </w:pPr>
      <w:r w:rsidRPr="004E3A3C">
        <w:t xml:space="preserve">ΣΤΟΧΟΙ ΤΟΥ ΘΕΜΑΤΙΚΟΥ ΕΘΝΙΚΟΥ ΔΙΚΤΥΟΥ </w:t>
      </w:r>
      <w:r>
        <w:t>ΕΙΝΑΙ:</w:t>
      </w:r>
    </w:p>
    <w:p w:rsidR="004E3A3C" w:rsidRPr="004E3A3C" w:rsidRDefault="004E3A3C" w:rsidP="004E3A3C">
      <w:pPr>
        <w:pStyle w:val="a4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E3A3C">
        <w:rPr>
          <w:sz w:val="20"/>
          <w:szCs w:val="20"/>
        </w:rPr>
        <w:t>Κατανόηση της σχέσης ανθρωπογενούς και φυσικού περιβάλλοντος .</w:t>
      </w:r>
    </w:p>
    <w:p w:rsidR="004E3A3C" w:rsidRPr="004E3A3C" w:rsidRDefault="004E3A3C" w:rsidP="004E3A3C">
      <w:pPr>
        <w:pStyle w:val="a4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E3A3C">
        <w:rPr>
          <w:sz w:val="20"/>
          <w:szCs w:val="20"/>
        </w:rPr>
        <w:t>Επαφή με κτίσματα που ανήκουν  στην πολιτιστική κληρονομία.</w:t>
      </w:r>
    </w:p>
    <w:p w:rsidR="004E3A3C" w:rsidRPr="004E3A3C" w:rsidRDefault="004E3A3C" w:rsidP="004E3A3C">
      <w:pPr>
        <w:pStyle w:val="a4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E3A3C">
        <w:rPr>
          <w:sz w:val="20"/>
          <w:szCs w:val="20"/>
        </w:rPr>
        <w:t>Καταγραφή των κτισμάτων αυτών σε τοπικό επίπεδο κατά σχολική μονάδα.</w:t>
      </w:r>
    </w:p>
    <w:p w:rsidR="004E3A3C" w:rsidRPr="004E3A3C" w:rsidRDefault="004E3A3C" w:rsidP="004E3A3C">
      <w:pPr>
        <w:pStyle w:val="a4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E3A3C">
        <w:rPr>
          <w:sz w:val="20"/>
          <w:szCs w:val="20"/>
        </w:rPr>
        <w:t>Να γνωρίσουν τις λειτουργίες  των νερόμυλων για την κάλυψη αναγκών βιωσιμότητας.</w:t>
      </w:r>
    </w:p>
    <w:p w:rsidR="004E3A3C" w:rsidRPr="004E3A3C" w:rsidRDefault="004E3A3C" w:rsidP="004E3A3C">
      <w:pPr>
        <w:pStyle w:val="a4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E3A3C">
        <w:rPr>
          <w:sz w:val="20"/>
          <w:szCs w:val="20"/>
        </w:rPr>
        <w:t xml:space="preserve">Να μάθουν για τους τύπους </w:t>
      </w:r>
      <w:r>
        <w:rPr>
          <w:sz w:val="20"/>
          <w:szCs w:val="20"/>
        </w:rPr>
        <w:t xml:space="preserve">υδροηλεκτρικών σταθμών </w:t>
      </w:r>
    </w:p>
    <w:p w:rsidR="00992FBD" w:rsidRPr="00252985" w:rsidRDefault="00992FBD"/>
    <w:p w:rsidR="00E7206C" w:rsidRDefault="00E7206C">
      <w:pPr>
        <w:rPr>
          <w:sz w:val="22"/>
          <w:szCs w:val="22"/>
        </w:rPr>
      </w:pPr>
    </w:p>
    <w:p w:rsidR="00992FBD" w:rsidRDefault="00992FBD">
      <w:pPr>
        <w:rPr>
          <w:sz w:val="22"/>
          <w:szCs w:val="22"/>
        </w:rPr>
      </w:pPr>
    </w:p>
    <w:p w:rsidR="00992FBD" w:rsidRDefault="00992FBD">
      <w:pPr>
        <w:rPr>
          <w:sz w:val="22"/>
          <w:szCs w:val="22"/>
        </w:rPr>
      </w:pPr>
    </w:p>
    <w:p w:rsidR="00992FBD" w:rsidRDefault="00CF1DDB" w:rsidP="00CF1DDB">
      <w:pPr>
        <w:ind w:left="28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2FBD">
        <w:rPr>
          <w:sz w:val="22"/>
          <w:szCs w:val="22"/>
        </w:rPr>
        <w:t xml:space="preserve">Με εκτίμηση </w:t>
      </w:r>
    </w:p>
    <w:p w:rsidR="00992FBD" w:rsidRDefault="00CF1DDB" w:rsidP="00CF1DDB">
      <w:pPr>
        <w:ind w:left="28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2FBD">
        <w:rPr>
          <w:sz w:val="22"/>
          <w:szCs w:val="22"/>
        </w:rPr>
        <w:t xml:space="preserve">Ο υπεύθυνος του Κ.Π.Ε. </w:t>
      </w:r>
    </w:p>
    <w:p w:rsidR="00992FBD" w:rsidRDefault="00992FBD" w:rsidP="00992FBD">
      <w:pPr>
        <w:jc w:val="center"/>
        <w:rPr>
          <w:sz w:val="22"/>
          <w:szCs w:val="22"/>
        </w:rPr>
      </w:pPr>
    </w:p>
    <w:p w:rsidR="00992FBD" w:rsidRDefault="00992FBD" w:rsidP="00992FBD">
      <w:pPr>
        <w:jc w:val="center"/>
        <w:rPr>
          <w:sz w:val="22"/>
          <w:szCs w:val="22"/>
        </w:rPr>
      </w:pPr>
    </w:p>
    <w:p w:rsidR="00992FBD" w:rsidRPr="00FA3A37" w:rsidRDefault="00992FBD" w:rsidP="00CF1DDB">
      <w:pPr>
        <w:ind w:left="28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Νικολάου Μάρκος</w:t>
      </w: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p w:rsidR="00FA3A37" w:rsidRPr="00FA3A37" w:rsidRDefault="00FA3A37">
      <w:pPr>
        <w:rPr>
          <w:sz w:val="22"/>
          <w:szCs w:val="22"/>
        </w:rPr>
      </w:pPr>
    </w:p>
    <w:sectPr w:rsidR="00FA3A37" w:rsidRPr="00FA3A37" w:rsidSect="00FA3A37">
      <w:footerReference w:type="default" r:id="rId8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10" w:rsidRDefault="00DD6C10" w:rsidP="00FA3A37">
      <w:r>
        <w:separator/>
      </w:r>
    </w:p>
  </w:endnote>
  <w:endnote w:type="continuationSeparator" w:id="1">
    <w:p w:rsidR="00DD6C10" w:rsidRDefault="00DD6C10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7" w:rsidRDefault="00BF3948">
    <w:pPr>
      <w:pStyle w:val="a6"/>
    </w:pPr>
    <w:r>
      <w:rPr>
        <w:noProof/>
      </w:rPr>
      <w:drawing>
        <wp:inline distT="0" distB="0" distL="0" distR="0">
          <wp:extent cx="6649720" cy="110490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10" w:rsidRDefault="00DD6C10" w:rsidP="00FA3A37">
      <w:r>
        <w:separator/>
      </w:r>
    </w:p>
  </w:footnote>
  <w:footnote w:type="continuationSeparator" w:id="1">
    <w:p w:rsidR="00DD6C10" w:rsidRDefault="00DD6C10" w:rsidP="00FA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033E"/>
    <w:multiLevelType w:val="hybridMultilevel"/>
    <w:tmpl w:val="82CA1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70989"/>
    <w:rsid w:val="00022E78"/>
    <w:rsid w:val="0003310A"/>
    <w:rsid w:val="00082369"/>
    <w:rsid w:val="000C7C68"/>
    <w:rsid w:val="000D2460"/>
    <w:rsid w:val="000D7D5B"/>
    <w:rsid w:val="001230C0"/>
    <w:rsid w:val="00135C0B"/>
    <w:rsid w:val="00170989"/>
    <w:rsid w:val="001F769F"/>
    <w:rsid w:val="002126C2"/>
    <w:rsid w:val="00252985"/>
    <w:rsid w:val="00355BDB"/>
    <w:rsid w:val="00490FEF"/>
    <w:rsid w:val="004E3A3C"/>
    <w:rsid w:val="00506251"/>
    <w:rsid w:val="00506F7E"/>
    <w:rsid w:val="005A2152"/>
    <w:rsid w:val="00693B86"/>
    <w:rsid w:val="00834957"/>
    <w:rsid w:val="00865E43"/>
    <w:rsid w:val="00882832"/>
    <w:rsid w:val="008859A9"/>
    <w:rsid w:val="008B6A58"/>
    <w:rsid w:val="008C62AD"/>
    <w:rsid w:val="00975900"/>
    <w:rsid w:val="00992FBD"/>
    <w:rsid w:val="00995EC9"/>
    <w:rsid w:val="009B1CA2"/>
    <w:rsid w:val="00AA776E"/>
    <w:rsid w:val="00AF0FA4"/>
    <w:rsid w:val="00BA1936"/>
    <w:rsid w:val="00BF3948"/>
    <w:rsid w:val="00C13419"/>
    <w:rsid w:val="00CA618F"/>
    <w:rsid w:val="00CE74FD"/>
    <w:rsid w:val="00CF1DDB"/>
    <w:rsid w:val="00D23C9C"/>
    <w:rsid w:val="00D54817"/>
    <w:rsid w:val="00D71E6F"/>
    <w:rsid w:val="00DA1AE7"/>
    <w:rsid w:val="00DD6C10"/>
    <w:rsid w:val="00E7206C"/>
    <w:rsid w:val="00EA6B5F"/>
    <w:rsid w:val="00EB382D"/>
    <w:rsid w:val="00F02150"/>
    <w:rsid w:val="00F6030F"/>
    <w:rsid w:val="00F95857"/>
    <w:rsid w:val="00F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9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98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17098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0D2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markos</cp:lastModifiedBy>
  <cp:revision>3</cp:revision>
  <cp:lastPrinted>2012-10-22T09:56:00Z</cp:lastPrinted>
  <dcterms:created xsi:type="dcterms:W3CDTF">2013-09-13T10:41:00Z</dcterms:created>
  <dcterms:modified xsi:type="dcterms:W3CDTF">2013-09-13T10:43:00Z</dcterms:modified>
</cp:coreProperties>
</file>